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CDFA7">
      <w:pPr>
        <w:spacing w:after="0" w:line="360" w:lineRule="auto"/>
        <w:jc w:val="center"/>
        <w:rPr>
          <w:rFonts w:hint="eastAsia" w:ascii="仿宋" w:hAnsi="仿宋" w:eastAsia="仿宋"/>
          <w:sz w:val="30"/>
          <w:szCs w:val="30"/>
        </w:rPr>
      </w:pPr>
      <w:r>
        <w:rPr>
          <w:rFonts w:hint="eastAsia" w:ascii="仿宋" w:hAnsi="仿宋" w:eastAsia="仿宋" w:cs="Times New Roman"/>
          <w:color w:val="333333"/>
          <w:kern w:val="0"/>
          <w:sz w:val="28"/>
          <w:szCs w:val="28"/>
          <w:shd w:val="clear" w:color="auto" w:fill="FFFFFF"/>
          <w:lang w:val="en-US" w:eastAsia="zh-CN" w:bidi="ar"/>
        </w:rPr>
        <w:t>附件二：</w:t>
      </w:r>
      <w:r>
        <w:rPr>
          <w:rFonts w:hint="eastAsia" w:ascii="仿宋" w:hAnsi="仿宋" w:eastAsia="仿宋" w:cs="黑体"/>
          <w:b/>
          <w:color w:val="333333"/>
          <w:kern w:val="0"/>
          <w:sz w:val="32"/>
          <w:szCs w:val="32"/>
          <w:shd w:val="clear" w:color="auto" w:fill="FFFFFF"/>
          <w:lang w:val="en-US" w:eastAsia="zh-CN" w:bidi="ar"/>
          <w14:ligatures w14:val="none"/>
        </w:rPr>
        <w:t>上海海智智源科技有限公司Nastran + Patran有限元软件采购项目具体要求</w:t>
      </w:r>
    </w:p>
    <w:p w14:paraId="4B40DC9E">
      <w:pPr>
        <w:pStyle w:val="29"/>
        <w:numPr>
          <w:numId w:val="0"/>
        </w:numPr>
        <w:spacing w:after="0" w:line="360" w:lineRule="auto"/>
        <w:ind w:leftChars="0"/>
        <w:rPr>
          <w:rFonts w:hint="eastAsia" w:ascii="仿宋" w:hAnsi="仿宋" w:eastAsia="仿宋"/>
          <w:b/>
          <w:bCs/>
          <w:sz w:val="21"/>
          <w:szCs w:val="21"/>
        </w:rPr>
      </w:pPr>
      <w:r>
        <w:rPr>
          <w:rFonts w:hint="eastAsia" w:ascii="仿宋" w:hAnsi="仿宋" w:eastAsia="仿宋" w:cs="Times New Roman"/>
          <w:b/>
          <w:bCs/>
          <w:color w:val="333333"/>
          <w:kern w:val="0"/>
          <w:sz w:val="28"/>
          <w:szCs w:val="28"/>
          <w:shd w:val="clear" w:color="auto" w:fill="FFFFFF"/>
          <w:lang w:val="en-US" w:eastAsia="zh-CN" w:bidi="ar"/>
          <w14:ligatures w14:val="none"/>
        </w:rPr>
        <w:t>1.软件模块需求</w:t>
      </w:r>
    </w:p>
    <w:tbl>
      <w:tblPr>
        <w:tblStyle w:val="14"/>
        <w:tblW w:w="8359" w:type="dxa"/>
        <w:tblInd w:w="0" w:type="dxa"/>
        <w:tblLayout w:type="autofit"/>
        <w:tblCellMar>
          <w:top w:w="0" w:type="dxa"/>
          <w:left w:w="108" w:type="dxa"/>
          <w:bottom w:w="0" w:type="dxa"/>
          <w:right w:w="108" w:type="dxa"/>
        </w:tblCellMar>
      </w:tblPr>
      <w:tblGrid>
        <w:gridCol w:w="7225"/>
        <w:gridCol w:w="1134"/>
      </w:tblGrid>
      <w:tr w14:paraId="5E03A8D8">
        <w:tblPrEx>
          <w:tblCellMar>
            <w:top w:w="0" w:type="dxa"/>
            <w:left w:w="108" w:type="dxa"/>
            <w:bottom w:w="0" w:type="dxa"/>
            <w:right w:w="108" w:type="dxa"/>
          </w:tblCellMar>
        </w:tblPrEx>
        <w:trPr>
          <w:trHeight w:val="454" w:hRule="exact"/>
        </w:trPr>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14:paraId="3C7A7913">
            <w:pPr>
              <w:tabs>
                <w:tab w:val="left" w:pos="3686"/>
                <w:tab w:val="left" w:pos="6521"/>
              </w:tabs>
              <w:spacing w:after="0" w:line="360" w:lineRule="auto"/>
              <w:jc w:val="center"/>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模块名称</w:t>
            </w:r>
          </w:p>
        </w:tc>
        <w:tc>
          <w:tcPr>
            <w:tcW w:w="1134" w:type="dxa"/>
            <w:tcBorders>
              <w:top w:val="single" w:color="auto" w:sz="4" w:space="0"/>
              <w:left w:val="nil"/>
              <w:bottom w:val="single" w:color="auto" w:sz="4" w:space="0"/>
              <w:right w:val="single" w:color="auto" w:sz="4" w:space="0"/>
            </w:tcBorders>
            <w:shd w:val="clear" w:color="auto" w:fill="auto"/>
            <w:vAlign w:val="center"/>
          </w:tcPr>
          <w:p w14:paraId="41839A2E">
            <w:pPr>
              <w:tabs>
                <w:tab w:val="left" w:pos="3686"/>
                <w:tab w:val="left" w:pos="6521"/>
              </w:tabs>
              <w:spacing w:after="0" w:line="360" w:lineRule="auto"/>
              <w:jc w:val="center"/>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数量</w:t>
            </w:r>
          </w:p>
        </w:tc>
      </w:tr>
      <w:tr w14:paraId="156B4EEA">
        <w:tblPrEx>
          <w:tblCellMar>
            <w:top w:w="0" w:type="dxa"/>
            <w:left w:w="108" w:type="dxa"/>
            <w:bottom w:w="0" w:type="dxa"/>
            <w:right w:w="108" w:type="dxa"/>
          </w:tblCellMar>
        </w:tblPrEx>
        <w:trPr>
          <w:trHeight w:val="490" w:hRule="atLeast"/>
        </w:trPr>
        <w:tc>
          <w:tcPr>
            <w:tcW w:w="7225" w:type="dxa"/>
            <w:tcBorders>
              <w:top w:val="nil"/>
              <w:left w:val="single" w:color="auto" w:sz="4" w:space="0"/>
              <w:bottom w:val="single" w:color="auto" w:sz="4" w:space="0"/>
              <w:right w:val="single" w:color="auto" w:sz="4" w:space="0"/>
            </w:tcBorders>
            <w:shd w:val="clear" w:color="auto" w:fill="auto"/>
            <w:vAlign w:val="center"/>
          </w:tcPr>
          <w:p w14:paraId="37A0B45E">
            <w:pPr>
              <w:tabs>
                <w:tab w:val="left" w:pos="3686"/>
                <w:tab w:val="left" w:pos="6521"/>
              </w:tabs>
              <w:spacing w:after="0" w:line="360" w:lineRule="auto"/>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MSC Apex modeler with Patran</w:t>
            </w:r>
          </w:p>
          <w:p w14:paraId="0C556D08">
            <w:pPr>
              <w:tabs>
                <w:tab w:val="left" w:pos="3686"/>
                <w:tab w:val="left" w:pos="6521"/>
              </w:tabs>
              <w:spacing w:after="0" w:line="360" w:lineRule="auto"/>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 xml:space="preserve"> (有限元前后处理模块）</w:t>
            </w:r>
          </w:p>
        </w:tc>
        <w:tc>
          <w:tcPr>
            <w:tcW w:w="1134" w:type="dxa"/>
            <w:tcBorders>
              <w:top w:val="nil"/>
              <w:left w:val="nil"/>
              <w:bottom w:val="single" w:color="auto" w:sz="4" w:space="0"/>
              <w:right w:val="single" w:color="auto" w:sz="4" w:space="0"/>
            </w:tcBorders>
            <w:shd w:val="clear" w:color="auto" w:fill="auto"/>
            <w:vAlign w:val="center"/>
          </w:tcPr>
          <w:p w14:paraId="444479D6">
            <w:pPr>
              <w:widowControl/>
              <w:spacing w:after="0" w:line="360" w:lineRule="auto"/>
              <w:jc w:val="center"/>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 xml:space="preserve">1 </w:t>
            </w:r>
          </w:p>
        </w:tc>
      </w:tr>
      <w:tr w14:paraId="2FED8D63">
        <w:tblPrEx>
          <w:tblCellMar>
            <w:top w:w="0" w:type="dxa"/>
            <w:left w:w="108" w:type="dxa"/>
            <w:bottom w:w="0" w:type="dxa"/>
            <w:right w:w="108" w:type="dxa"/>
          </w:tblCellMar>
        </w:tblPrEx>
        <w:trPr>
          <w:trHeight w:val="470" w:hRule="atLeast"/>
        </w:trPr>
        <w:tc>
          <w:tcPr>
            <w:tcW w:w="7225" w:type="dxa"/>
            <w:tcBorders>
              <w:top w:val="nil"/>
              <w:left w:val="single" w:color="auto" w:sz="4" w:space="0"/>
              <w:bottom w:val="single" w:color="auto" w:sz="4" w:space="0"/>
              <w:right w:val="single" w:color="auto" w:sz="4" w:space="0"/>
            </w:tcBorders>
            <w:shd w:val="clear" w:color="auto" w:fill="auto"/>
            <w:vAlign w:val="center"/>
          </w:tcPr>
          <w:p w14:paraId="727B17F2">
            <w:pPr>
              <w:tabs>
                <w:tab w:val="left" w:pos="3686"/>
                <w:tab w:val="left" w:pos="6521"/>
              </w:tabs>
              <w:spacing w:after="0" w:line="360" w:lineRule="auto"/>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Patran Generic Geometry Translators</w:t>
            </w:r>
          </w:p>
          <w:p w14:paraId="50BF1982">
            <w:pPr>
              <w:tabs>
                <w:tab w:val="left" w:pos="3686"/>
                <w:tab w:val="left" w:pos="6521"/>
              </w:tabs>
              <w:spacing w:after="0" w:line="360" w:lineRule="auto"/>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(几何接口）</w:t>
            </w:r>
          </w:p>
        </w:tc>
        <w:tc>
          <w:tcPr>
            <w:tcW w:w="1134" w:type="dxa"/>
            <w:tcBorders>
              <w:top w:val="nil"/>
              <w:left w:val="nil"/>
              <w:bottom w:val="single" w:color="auto" w:sz="4" w:space="0"/>
              <w:right w:val="single" w:color="auto" w:sz="4" w:space="0"/>
            </w:tcBorders>
            <w:shd w:val="clear" w:color="auto" w:fill="auto"/>
            <w:vAlign w:val="center"/>
          </w:tcPr>
          <w:p w14:paraId="4E427A66">
            <w:pPr>
              <w:widowControl/>
              <w:spacing w:after="0" w:line="360" w:lineRule="auto"/>
              <w:jc w:val="center"/>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 xml:space="preserve">1 </w:t>
            </w:r>
          </w:p>
        </w:tc>
      </w:tr>
      <w:tr w14:paraId="3CFDD594">
        <w:tblPrEx>
          <w:tblCellMar>
            <w:top w:w="0" w:type="dxa"/>
            <w:left w:w="108" w:type="dxa"/>
            <w:bottom w:w="0" w:type="dxa"/>
            <w:right w:w="108" w:type="dxa"/>
          </w:tblCellMar>
        </w:tblPrEx>
        <w:trPr>
          <w:trHeight w:val="520" w:hRule="atLeast"/>
        </w:trPr>
        <w:tc>
          <w:tcPr>
            <w:tcW w:w="7225" w:type="dxa"/>
            <w:tcBorders>
              <w:top w:val="nil"/>
              <w:left w:val="single" w:color="auto" w:sz="4" w:space="0"/>
              <w:bottom w:val="single" w:color="auto" w:sz="4" w:space="0"/>
              <w:right w:val="single" w:color="auto" w:sz="4" w:space="0"/>
            </w:tcBorders>
            <w:shd w:val="clear" w:color="auto" w:fill="auto"/>
            <w:vAlign w:val="center"/>
          </w:tcPr>
          <w:p w14:paraId="42302342">
            <w:pPr>
              <w:tabs>
                <w:tab w:val="left" w:pos="3686"/>
                <w:tab w:val="left" w:pos="6521"/>
              </w:tabs>
              <w:spacing w:after="0" w:line="360" w:lineRule="auto"/>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 xml:space="preserve">MSC Nastran Linear Structures Package Bundle（include 4 Cores） </w:t>
            </w:r>
          </w:p>
          <w:p w14:paraId="4755E223">
            <w:pPr>
              <w:tabs>
                <w:tab w:val="left" w:pos="3686"/>
                <w:tab w:val="left" w:pos="6521"/>
              </w:tabs>
              <w:spacing w:after="0" w:line="360" w:lineRule="auto"/>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(线性结构包）</w:t>
            </w:r>
          </w:p>
        </w:tc>
        <w:tc>
          <w:tcPr>
            <w:tcW w:w="1134" w:type="dxa"/>
            <w:tcBorders>
              <w:top w:val="nil"/>
              <w:left w:val="nil"/>
              <w:bottom w:val="single" w:color="auto" w:sz="4" w:space="0"/>
              <w:right w:val="single" w:color="auto" w:sz="4" w:space="0"/>
            </w:tcBorders>
            <w:shd w:val="clear" w:color="auto" w:fill="auto"/>
            <w:vAlign w:val="center"/>
          </w:tcPr>
          <w:p w14:paraId="44D12405">
            <w:pPr>
              <w:widowControl/>
              <w:spacing w:after="0" w:line="360" w:lineRule="auto"/>
              <w:jc w:val="center"/>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 xml:space="preserve">1 </w:t>
            </w:r>
          </w:p>
        </w:tc>
      </w:tr>
      <w:tr w14:paraId="03639A06">
        <w:tblPrEx>
          <w:tblCellMar>
            <w:top w:w="0" w:type="dxa"/>
            <w:left w:w="108" w:type="dxa"/>
            <w:bottom w:w="0" w:type="dxa"/>
            <w:right w:w="108" w:type="dxa"/>
          </w:tblCellMar>
        </w:tblPrEx>
        <w:trPr>
          <w:trHeight w:val="470" w:hRule="atLeast"/>
        </w:trPr>
        <w:tc>
          <w:tcPr>
            <w:tcW w:w="7225" w:type="dxa"/>
            <w:tcBorders>
              <w:top w:val="nil"/>
              <w:left w:val="single" w:color="auto" w:sz="4" w:space="0"/>
              <w:bottom w:val="single" w:color="auto" w:sz="4" w:space="0"/>
              <w:right w:val="single" w:color="auto" w:sz="4" w:space="0"/>
            </w:tcBorders>
            <w:shd w:val="clear" w:color="auto" w:fill="auto"/>
            <w:vAlign w:val="center"/>
          </w:tcPr>
          <w:p w14:paraId="6534EFCB">
            <w:pPr>
              <w:tabs>
                <w:tab w:val="left" w:pos="3686"/>
                <w:tab w:val="left" w:pos="6521"/>
              </w:tabs>
              <w:spacing w:after="0" w:line="360" w:lineRule="auto"/>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MSC Nastran ACMS</w:t>
            </w:r>
          </w:p>
          <w:p w14:paraId="70F76109">
            <w:pPr>
              <w:tabs>
                <w:tab w:val="left" w:pos="3686"/>
                <w:tab w:val="left" w:pos="6521"/>
              </w:tabs>
              <w:spacing w:after="0" w:line="360" w:lineRule="auto"/>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(模态综合法，加速动力学分析计算)</w:t>
            </w:r>
          </w:p>
        </w:tc>
        <w:tc>
          <w:tcPr>
            <w:tcW w:w="1134" w:type="dxa"/>
            <w:tcBorders>
              <w:top w:val="nil"/>
              <w:left w:val="nil"/>
              <w:bottom w:val="single" w:color="auto" w:sz="4" w:space="0"/>
              <w:right w:val="single" w:color="auto" w:sz="4" w:space="0"/>
            </w:tcBorders>
            <w:shd w:val="clear" w:color="auto" w:fill="auto"/>
            <w:vAlign w:val="center"/>
          </w:tcPr>
          <w:p w14:paraId="5D52810A">
            <w:pPr>
              <w:widowControl/>
              <w:spacing w:after="0" w:line="360" w:lineRule="auto"/>
              <w:jc w:val="center"/>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 xml:space="preserve">1 </w:t>
            </w:r>
          </w:p>
        </w:tc>
      </w:tr>
      <w:tr w14:paraId="433AA0CB">
        <w:tblPrEx>
          <w:tblCellMar>
            <w:top w:w="0" w:type="dxa"/>
            <w:left w:w="108" w:type="dxa"/>
            <w:bottom w:w="0" w:type="dxa"/>
            <w:right w:w="108" w:type="dxa"/>
          </w:tblCellMar>
        </w:tblPrEx>
        <w:trPr>
          <w:trHeight w:val="470" w:hRule="atLeast"/>
        </w:trPr>
        <w:tc>
          <w:tcPr>
            <w:tcW w:w="7225" w:type="dxa"/>
            <w:tcBorders>
              <w:top w:val="nil"/>
              <w:left w:val="single" w:color="auto" w:sz="4" w:space="0"/>
              <w:bottom w:val="single" w:color="auto" w:sz="4" w:space="0"/>
              <w:right w:val="single" w:color="auto" w:sz="4" w:space="0"/>
            </w:tcBorders>
            <w:shd w:val="clear" w:color="auto" w:fill="auto"/>
            <w:vAlign w:val="center"/>
          </w:tcPr>
          <w:p w14:paraId="479CE9E5">
            <w:pPr>
              <w:tabs>
                <w:tab w:val="left" w:pos="3686"/>
                <w:tab w:val="left" w:pos="6521"/>
              </w:tabs>
              <w:spacing w:after="0" w:line="360" w:lineRule="auto"/>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 xml:space="preserve">MSC Nastran Parallel Bundle - 5ththrough 8th cores </w:t>
            </w:r>
          </w:p>
          <w:p w14:paraId="1F1883DD">
            <w:pPr>
              <w:tabs>
                <w:tab w:val="left" w:pos="3686"/>
                <w:tab w:val="left" w:pos="6521"/>
              </w:tabs>
              <w:spacing w:after="0" w:line="360" w:lineRule="auto"/>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(并行5-8核包)</w:t>
            </w:r>
          </w:p>
        </w:tc>
        <w:tc>
          <w:tcPr>
            <w:tcW w:w="1134" w:type="dxa"/>
            <w:tcBorders>
              <w:top w:val="nil"/>
              <w:left w:val="nil"/>
              <w:bottom w:val="single" w:color="auto" w:sz="4" w:space="0"/>
              <w:right w:val="single" w:color="auto" w:sz="4" w:space="0"/>
            </w:tcBorders>
            <w:shd w:val="clear" w:color="auto" w:fill="auto"/>
            <w:vAlign w:val="center"/>
          </w:tcPr>
          <w:p w14:paraId="0A878B28">
            <w:pPr>
              <w:widowControl/>
              <w:spacing w:after="0" w:line="360" w:lineRule="auto"/>
              <w:jc w:val="center"/>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 xml:space="preserve">1 </w:t>
            </w:r>
          </w:p>
        </w:tc>
      </w:tr>
      <w:tr w14:paraId="37AE3A2F">
        <w:tblPrEx>
          <w:tblCellMar>
            <w:top w:w="0" w:type="dxa"/>
            <w:left w:w="108" w:type="dxa"/>
            <w:bottom w:w="0" w:type="dxa"/>
            <w:right w:w="108" w:type="dxa"/>
          </w:tblCellMar>
        </w:tblPrEx>
        <w:trPr>
          <w:trHeight w:val="470" w:hRule="atLeast"/>
        </w:trPr>
        <w:tc>
          <w:tcPr>
            <w:tcW w:w="7225" w:type="dxa"/>
            <w:tcBorders>
              <w:top w:val="nil"/>
              <w:left w:val="single" w:color="auto" w:sz="4" w:space="0"/>
              <w:bottom w:val="single" w:color="auto" w:sz="4" w:space="0"/>
              <w:right w:val="single" w:color="auto" w:sz="4" w:space="0"/>
            </w:tcBorders>
            <w:shd w:val="clear" w:color="auto" w:fill="auto"/>
            <w:vAlign w:val="center"/>
          </w:tcPr>
          <w:p w14:paraId="7A76BB1A">
            <w:pPr>
              <w:tabs>
                <w:tab w:val="left" w:pos="3686"/>
                <w:tab w:val="left" w:pos="6521"/>
              </w:tabs>
              <w:spacing w:after="0" w:line="360" w:lineRule="auto"/>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 xml:space="preserve">MSC Nastran Parallel Bundle - 9ththrough 16th cores </w:t>
            </w:r>
          </w:p>
          <w:p w14:paraId="3B376C7B">
            <w:pPr>
              <w:tabs>
                <w:tab w:val="left" w:pos="3686"/>
                <w:tab w:val="left" w:pos="6521"/>
              </w:tabs>
              <w:spacing w:after="0" w:line="360" w:lineRule="auto"/>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(并行9-16核包)</w:t>
            </w:r>
          </w:p>
        </w:tc>
        <w:tc>
          <w:tcPr>
            <w:tcW w:w="1134" w:type="dxa"/>
            <w:tcBorders>
              <w:top w:val="nil"/>
              <w:left w:val="nil"/>
              <w:bottom w:val="single" w:color="auto" w:sz="4" w:space="0"/>
              <w:right w:val="single" w:color="auto" w:sz="4" w:space="0"/>
            </w:tcBorders>
            <w:shd w:val="clear" w:color="auto" w:fill="auto"/>
            <w:vAlign w:val="center"/>
          </w:tcPr>
          <w:p w14:paraId="58497144">
            <w:pPr>
              <w:widowControl/>
              <w:spacing w:after="0" w:line="360" w:lineRule="auto"/>
              <w:jc w:val="center"/>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 xml:space="preserve">1 </w:t>
            </w:r>
          </w:p>
        </w:tc>
      </w:tr>
    </w:tbl>
    <w:p w14:paraId="58829CA6">
      <w:pPr>
        <w:pStyle w:val="29"/>
        <w:numPr>
          <w:numId w:val="0"/>
        </w:numPr>
        <w:spacing w:after="0" w:line="360" w:lineRule="auto"/>
        <w:ind w:leftChars="0"/>
        <w:rPr>
          <w:rFonts w:hint="eastAsia" w:ascii="仿宋" w:hAnsi="仿宋" w:eastAsia="仿宋" w:cs="Times New Roman"/>
          <w:b/>
          <w:bCs/>
          <w:color w:val="333333"/>
          <w:kern w:val="0"/>
          <w:sz w:val="28"/>
          <w:szCs w:val="28"/>
          <w:shd w:val="clear" w:color="auto" w:fill="FFFFFF"/>
          <w:lang w:val="en-US" w:eastAsia="zh-CN" w:bidi="ar"/>
          <w14:ligatures w14:val="none"/>
        </w:rPr>
      </w:pPr>
      <w:r>
        <w:rPr>
          <w:rFonts w:hint="eastAsia" w:ascii="仿宋" w:hAnsi="仿宋" w:eastAsia="仿宋" w:cs="Times New Roman"/>
          <w:b/>
          <w:bCs/>
          <w:color w:val="333333"/>
          <w:kern w:val="0"/>
          <w:sz w:val="28"/>
          <w:szCs w:val="28"/>
          <w:shd w:val="clear" w:color="auto" w:fill="FFFFFF"/>
          <w:lang w:val="en-US" w:eastAsia="zh-CN" w:bidi="ar"/>
          <w14:ligatures w14:val="none"/>
        </w:rPr>
        <w:t>2.软件培训需求</w:t>
      </w:r>
    </w:p>
    <w:p w14:paraId="53408DBF">
      <w:pPr>
        <w:pStyle w:val="29"/>
        <w:numPr>
          <w:numId w:val="0"/>
        </w:numPr>
        <w:spacing w:after="0" w:line="360" w:lineRule="auto"/>
        <w:ind w:leftChars="0"/>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（1）按客户需求，累计5个工作日。</w:t>
      </w:r>
    </w:p>
    <w:p w14:paraId="54F1AC2E">
      <w:pPr>
        <w:pStyle w:val="29"/>
        <w:numPr>
          <w:numId w:val="0"/>
        </w:numPr>
        <w:spacing w:after="0" w:line="360" w:lineRule="auto"/>
        <w:ind w:leftChars="0"/>
        <w:rPr>
          <w:rFonts w:hint="eastAsia" w:ascii="仿宋" w:hAnsi="仿宋" w:eastAsia="仿宋" w:cs="Times New Roman"/>
          <w:b/>
          <w:bCs/>
          <w:color w:val="333333"/>
          <w:kern w:val="0"/>
          <w:sz w:val="28"/>
          <w:szCs w:val="28"/>
          <w:shd w:val="clear" w:color="auto" w:fill="FFFFFF"/>
          <w:lang w:val="en-US" w:eastAsia="zh-CN" w:bidi="ar"/>
          <w14:ligatures w14:val="none"/>
        </w:rPr>
      </w:pPr>
      <w:r>
        <w:rPr>
          <w:rFonts w:hint="eastAsia" w:ascii="仿宋" w:hAnsi="仿宋" w:eastAsia="仿宋" w:cs="Times New Roman"/>
          <w:b/>
          <w:bCs/>
          <w:color w:val="333333"/>
          <w:kern w:val="0"/>
          <w:sz w:val="28"/>
          <w:szCs w:val="28"/>
          <w:shd w:val="clear" w:color="auto" w:fill="FFFFFF"/>
          <w:lang w:val="en-US" w:eastAsia="zh-CN" w:bidi="ar"/>
          <w14:ligatures w14:val="none"/>
        </w:rPr>
        <w:t>3.软件交付要求</w:t>
      </w:r>
    </w:p>
    <w:p w14:paraId="340E333C">
      <w:pPr>
        <w:pStyle w:val="29"/>
        <w:numPr>
          <w:numId w:val="0"/>
        </w:numPr>
        <w:spacing w:after="0" w:line="360" w:lineRule="auto"/>
        <w:ind w:leftChars="0"/>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（1）软件安装包：版本为最新版本，主程序与求解器匹配。</w:t>
      </w:r>
    </w:p>
    <w:p w14:paraId="20A676EC">
      <w:pPr>
        <w:pStyle w:val="29"/>
        <w:numPr>
          <w:numId w:val="0"/>
        </w:numPr>
        <w:spacing w:after="0" w:line="360" w:lineRule="auto"/>
        <w:ind w:leftChars="0"/>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（2）许可证文件：1个license文件，使用期限为永久。</w:t>
      </w:r>
    </w:p>
    <w:p w14:paraId="24FDB990">
      <w:pPr>
        <w:pStyle w:val="29"/>
        <w:numPr>
          <w:numId w:val="0"/>
        </w:numPr>
        <w:spacing w:after="0" w:line="360" w:lineRule="auto"/>
        <w:ind w:leftChars="0"/>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（3）在合同签订当日，安排专业人员完成软件安装并完成全面测试，确保软件在指定设备上正常运行。</w:t>
      </w:r>
    </w:p>
    <w:p w14:paraId="72DE3B18">
      <w:pPr>
        <w:pStyle w:val="29"/>
        <w:numPr>
          <w:numId w:val="0"/>
        </w:numPr>
        <w:spacing w:after="0" w:line="360" w:lineRule="auto"/>
        <w:ind w:leftChars="0"/>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（4）提供完整的软件功能对照表。</w:t>
      </w:r>
    </w:p>
    <w:p w14:paraId="74EFB42E">
      <w:pPr>
        <w:pStyle w:val="29"/>
        <w:numPr>
          <w:numId w:val="0"/>
        </w:numPr>
        <w:spacing w:after="0" w:line="360" w:lineRule="auto"/>
        <w:ind w:leftChars="0"/>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（5）提供安装指南、用户手册、常见问题排查手册。</w:t>
      </w:r>
    </w:p>
    <w:p w14:paraId="431C59E2">
      <w:pPr>
        <w:pStyle w:val="29"/>
        <w:numPr>
          <w:numId w:val="0"/>
        </w:numPr>
        <w:spacing w:after="0" w:line="360" w:lineRule="auto"/>
        <w:ind w:leftChars="0"/>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（6）提供测试案例。</w:t>
      </w:r>
    </w:p>
    <w:p w14:paraId="4B5449F0">
      <w:pPr>
        <w:pStyle w:val="29"/>
        <w:numPr>
          <w:numId w:val="0"/>
        </w:numPr>
        <w:spacing w:after="0" w:line="360" w:lineRule="auto"/>
        <w:ind w:leftChars="0"/>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（7）供应商应提供软件原产地说明、软件正版说明、信息安全管理体系认定证书。</w:t>
      </w:r>
    </w:p>
    <w:p w14:paraId="0859CE92">
      <w:pPr>
        <w:pStyle w:val="29"/>
        <w:numPr>
          <w:numId w:val="0"/>
        </w:numPr>
        <w:spacing w:after="0" w:line="360" w:lineRule="auto"/>
        <w:ind w:leftChars="0"/>
        <w:rPr>
          <w:rFonts w:hint="eastAsia" w:ascii="仿宋" w:hAnsi="仿宋" w:eastAsia="仿宋" w:cs="Times New Roman"/>
          <w:b/>
          <w:bCs/>
          <w:color w:val="333333"/>
          <w:kern w:val="0"/>
          <w:sz w:val="28"/>
          <w:szCs w:val="28"/>
          <w:shd w:val="clear" w:color="auto" w:fill="FFFFFF"/>
          <w:lang w:val="en-US" w:eastAsia="zh-CN" w:bidi="ar"/>
          <w14:ligatures w14:val="none"/>
        </w:rPr>
      </w:pPr>
      <w:r>
        <w:rPr>
          <w:rFonts w:hint="eastAsia" w:ascii="仿宋" w:hAnsi="仿宋" w:eastAsia="仿宋" w:cs="Times New Roman"/>
          <w:b/>
          <w:bCs/>
          <w:color w:val="333333"/>
          <w:kern w:val="0"/>
          <w:sz w:val="28"/>
          <w:szCs w:val="28"/>
          <w:shd w:val="clear" w:color="auto" w:fill="FFFFFF"/>
          <w:lang w:val="en-US" w:eastAsia="zh-CN" w:bidi="ar"/>
          <w14:ligatures w14:val="none"/>
        </w:rPr>
        <w:t>4.软件验收要求</w:t>
      </w:r>
    </w:p>
    <w:p w14:paraId="350E2ED6">
      <w:pPr>
        <w:pStyle w:val="29"/>
        <w:numPr>
          <w:numId w:val="0"/>
        </w:numPr>
        <w:spacing w:after="0" w:line="360" w:lineRule="auto"/>
        <w:ind w:leftChars="0"/>
        <w:rPr>
          <w:rFonts w:hint="eastAsia" w:ascii="仿宋" w:hAnsi="仿宋" w:eastAsia="仿宋" w:cs="Times New Roman"/>
          <w:color w:val="333333"/>
          <w:kern w:val="0"/>
          <w:sz w:val="28"/>
          <w:szCs w:val="28"/>
          <w:shd w:val="clear" w:color="auto" w:fill="FFFFFF"/>
          <w:lang w:val="en-US" w:eastAsia="zh-CN" w:bidi="ar"/>
          <w14:ligatures w14:val="none"/>
        </w:rPr>
      </w:pPr>
      <w:bookmarkStart w:id="0" w:name="_GoBack"/>
      <w:bookmarkEnd w:id="0"/>
      <w:r>
        <w:rPr>
          <w:rFonts w:hint="eastAsia" w:ascii="仿宋" w:hAnsi="仿宋" w:eastAsia="仿宋" w:cs="Times New Roman"/>
          <w:color w:val="333333"/>
          <w:kern w:val="0"/>
          <w:sz w:val="28"/>
          <w:szCs w:val="28"/>
          <w:shd w:val="clear" w:color="auto" w:fill="FFFFFF"/>
          <w:lang w:val="en-US" w:eastAsia="zh-CN" w:bidi="ar"/>
          <w14:ligatures w14:val="none"/>
        </w:rPr>
        <w:t>（1）完成典型船体舱段分析（含屈服/屈曲校核）。</w:t>
      </w:r>
    </w:p>
    <w:p w14:paraId="091912F9">
      <w:pPr>
        <w:pStyle w:val="29"/>
        <w:numPr>
          <w:numId w:val="0"/>
        </w:numPr>
        <w:spacing w:after="0" w:line="360" w:lineRule="auto"/>
        <w:ind w:leftChars="0"/>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（2）2-4核，5-8核，9-16核并行效率按技术指标验证。</w:t>
      </w:r>
    </w:p>
    <w:p w14:paraId="49BE3C0F">
      <w:pPr>
        <w:pStyle w:val="29"/>
        <w:numPr>
          <w:numId w:val="0"/>
        </w:numPr>
        <w:spacing w:after="0" w:line="360" w:lineRule="auto"/>
        <w:ind w:leftChars="0"/>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（3）与CAD/Tribon/NAPA/CATIA/AM等数据接口验证。</w:t>
      </w:r>
    </w:p>
    <w:p w14:paraId="6FFF7DBF">
      <w:pPr>
        <w:pStyle w:val="29"/>
        <w:numPr>
          <w:numId w:val="0"/>
        </w:numPr>
        <w:spacing w:after="0" w:line="360" w:lineRule="auto"/>
        <w:ind w:leftChars="0"/>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（4）供应商需提供功能明细表与验收测验大纲，逐项验收。</w:t>
      </w:r>
    </w:p>
    <w:p w14:paraId="5FF0B11E">
      <w:pPr>
        <w:pStyle w:val="29"/>
        <w:numPr>
          <w:numId w:val="0"/>
        </w:numPr>
        <w:spacing w:after="0" w:line="360" w:lineRule="auto"/>
        <w:ind w:leftChars="0"/>
        <w:rPr>
          <w:rFonts w:hint="eastAsia" w:ascii="仿宋" w:hAnsi="仿宋" w:eastAsia="仿宋" w:cs="Times New Roman"/>
          <w:b/>
          <w:bCs/>
          <w:color w:val="333333"/>
          <w:kern w:val="0"/>
          <w:sz w:val="28"/>
          <w:szCs w:val="28"/>
          <w:shd w:val="clear" w:color="auto" w:fill="FFFFFF"/>
          <w:lang w:val="en-US" w:eastAsia="zh-CN" w:bidi="ar"/>
          <w14:ligatures w14:val="none"/>
        </w:rPr>
      </w:pPr>
      <w:r>
        <w:rPr>
          <w:rFonts w:hint="eastAsia" w:ascii="仿宋" w:hAnsi="仿宋" w:eastAsia="仿宋" w:cs="Times New Roman"/>
          <w:b/>
          <w:bCs/>
          <w:color w:val="333333"/>
          <w:kern w:val="0"/>
          <w:sz w:val="28"/>
          <w:szCs w:val="28"/>
          <w:shd w:val="clear" w:color="auto" w:fill="FFFFFF"/>
          <w:lang w:val="en-US" w:eastAsia="zh-CN" w:bidi="ar"/>
          <w14:ligatures w14:val="none"/>
        </w:rPr>
        <w:t>5.技术服务要求</w:t>
      </w:r>
    </w:p>
    <w:p w14:paraId="3FA552CC">
      <w:pPr>
        <w:pStyle w:val="29"/>
        <w:numPr>
          <w:numId w:val="0"/>
        </w:numPr>
        <w:spacing w:after="0" w:line="360" w:lineRule="auto"/>
        <w:ind w:leftChars="0"/>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（1）提供完善用户培训资料的以及船舶应用实例操作教程和及时的技术指导，帮助用户快速掌握软件操作。</w:t>
      </w:r>
    </w:p>
    <w:p w14:paraId="58D195EF">
      <w:pPr>
        <w:pStyle w:val="29"/>
        <w:numPr>
          <w:numId w:val="0"/>
        </w:numPr>
        <w:spacing w:after="0" w:line="360" w:lineRule="auto"/>
        <w:ind w:leftChars="0"/>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（2）应根据用户需求，提供累计共5个工作日的培训服务，以解决疑难技术问题为主，内容涵盖但不限于软件基础操作、船舶有限元模型创建技巧、载荷，约束加载，各类分析工况设置等。</w:t>
      </w:r>
    </w:p>
    <w:p w14:paraId="0F9D470F">
      <w:pPr>
        <w:pStyle w:val="29"/>
        <w:numPr>
          <w:numId w:val="0"/>
        </w:numPr>
        <w:spacing w:after="0" w:line="360" w:lineRule="auto"/>
        <w:ind w:leftChars="0"/>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（3）自软件验收通过之日起，供应商应提供至少一年的免费售后服务，进行常规的更新维护服务，版本升级服务，售后服务期满后，采购方有权选择继续购买售后服务。</w:t>
      </w:r>
    </w:p>
    <w:p w14:paraId="70C7C26E">
      <w:pPr>
        <w:pStyle w:val="29"/>
        <w:numPr>
          <w:numId w:val="0"/>
        </w:numPr>
        <w:spacing w:after="0" w:line="360" w:lineRule="auto"/>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（4）提供电话，邮件，视频等远程协助服务，采购方在使用软件过程中遇到任何问题，可随时联系供应商技术支持团队，技术人员应在一个工作日内做出响应。</w:t>
      </w:r>
    </w:p>
    <w:p w14:paraId="528008D3">
      <w:pPr>
        <w:pStyle w:val="29"/>
        <w:numPr>
          <w:numId w:val="0"/>
        </w:numPr>
        <w:spacing w:after="0" w:line="360" w:lineRule="auto"/>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（5）对于无法通过远程解决的问题，供应商应在 3 个工作日内安排现场技术支持人员到达采购方现场，解决软件使用过程中的技术难题。</w:t>
      </w:r>
    </w:p>
    <w:p w14:paraId="6DE41E83">
      <w:pPr>
        <w:pStyle w:val="29"/>
        <w:numPr>
          <w:numId w:val="0"/>
        </w:numPr>
        <w:spacing w:after="0" w:line="360" w:lineRule="auto"/>
        <w:rPr>
          <w:rFonts w:hint="default"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（6）根据实际需求提供必要的技术指导和培训补充。</w:t>
      </w:r>
    </w:p>
    <w:p w14:paraId="3379DBAD">
      <w:pPr>
        <w:spacing w:after="0" w:line="360" w:lineRule="auto"/>
        <w:ind w:firstLine="420" w:firstLineChars="200"/>
        <w:rPr>
          <w:rFonts w:hint="eastAsia" w:ascii="仿宋" w:hAnsi="仿宋" w:eastAsia="仿宋"/>
          <w:sz w:val="21"/>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Open Sans">
    <w:altName w:val="Segoe UI"/>
    <w:panose1 w:val="00000000000000000000"/>
    <w:charset w:val="00"/>
    <w:family w:val="swiss"/>
    <w:pitch w:val="default"/>
    <w:sig w:usb0="00000000" w:usb1="00000000" w:usb2="00000028" w:usb3="00000000" w:csb0="0000019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110"/>
    <w:rsid w:val="00025EF6"/>
    <w:rsid w:val="000270C3"/>
    <w:rsid w:val="0003335C"/>
    <w:rsid w:val="00095A54"/>
    <w:rsid w:val="000B1E3B"/>
    <w:rsid w:val="00146F3A"/>
    <w:rsid w:val="001C6062"/>
    <w:rsid w:val="002A3396"/>
    <w:rsid w:val="002D68C1"/>
    <w:rsid w:val="003515F2"/>
    <w:rsid w:val="00370131"/>
    <w:rsid w:val="00381061"/>
    <w:rsid w:val="003E13C6"/>
    <w:rsid w:val="004D299A"/>
    <w:rsid w:val="00612CAF"/>
    <w:rsid w:val="006C0877"/>
    <w:rsid w:val="006F605D"/>
    <w:rsid w:val="00704511"/>
    <w:rsid w:val="00832EDC"/>
    <w:rsid w:val="0089187E"/>
    <w:rsid w:val="00917351"/>
    <w:rsid w:val="00965AFC"/>
    <w:rsid w:val="009C712E"/>
    <w:rsid w:val="00A2045B"/>
    <w:rsid w:val="00AC3110"/>
    <w:rsid w:val="00C67448"/>
    <w:rsid w:val="00CA6BD6"/>
    <w:rsid w:val="00CF4D6E"/>
    <w:rsid w:val="00DC3491"/>
    <w:rsid w:val="00DD3057"/>
    <w:rsid w:val="00E02BE5"/>
    <w:rsid w:val="00E751FC"/>
    <w:rsid w:val="00EC183C"/>
    <w:rsid w:val="00FA3DC4"/>
    <w:rsid w:val="00FC25A7"/>
    <w:rsid w:val="00FF771F"/>
    <w:rsid w:val="0FF16719"/>
    <w:rsid w:val="20251BCD"/>
    <w:rsid w:val="2B6E2BC6"/>
    <w:rsid w:val="2CD26499"/>
    <w:rsid w:val="5469575D"/>
    <w:rsid w:val="68190F5F"/>
    <w:rsid w:val="7B6B2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763</Words>
  <Characters>987</Characters>
  <Lines>8</Lines>
  <Paragraphs>2</Paragraphs>
  <TotalTime>11</TotalTime>
  <ScaleCrop>false</ScaleCrop>
  <LinksUpToDate>false</LinksUpToDate>
  <CharactersWithSpaces>1031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2025-02-28T11:02:00Z</dcterms:created>
  <dc:creator>开学 马</dc:creator>
  <cp:lastModifiedBy>十一</cp:lastModifiedBy>
  <cp:lastPrinted>2025-03-10T06:13:00Z</cp:lastPrinted>
  <dcterms:modified xsi:type="dcterms:W3CDTF">2025-03-14T02:04:05Z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eyJoZGlkIjoiYzZhYTBmZjc5OTQwNDI3MDM0Nzk5YTAwM2I5NTk0ZDQiLCJ1c2VySWQiOiI2NjU4MDY4NDYifQ==</vt:lpwstr>
  </property>
  <property fmtid="{D5CDD505-2E9C-101B-9397-08002B2CF9AE}" pid="3" name="KSOProductBuildVer">
    <vt:lpwstr>2052-12.1.0.20305</vt:lpwstr>
  </property>
  <property fmtid="{D5CDD505-2E9C-101B-9397-08002B2CF9AE}" pid="4" name="ICV">
    <vt:lpwstr>6EEC03C9334E46DD8968865BF3B56E32_13</vt:lpwstr>
  </property>
</Properties>
</file>