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CFACA">
      <w:pPr>
        <w:spacing w:line="480" w:lineRule="auto"/>
        <w:rPr>
          <w:rFonts w:hint="eastAsia" w:ascii="Arial" w:hAnsi="Arial" w:cs="Arial"/>
          <w:b/>
          <w:bCs/>
          <w:sz w:val="28"/>
          <w:szCs w:val="28"/>
        </w:rPr>
      </w:pPr>
      <w:r>
        <w:rPr>
          <w:rFonts w:hint="eastAsia" w:ascii="Arial" w:hAnsi="Arial" w:cs="Arial"/>
          <w:b/>
          <w:bCs/>
          <w:sz w:val="28"/>
          <w:szCs w:val="28"/>
        </w:rPr>
        <w:t>附件三、竞优评分表</w:t>
      </w:r>
    </w:p>
    <w:tbl>
      <w:tblPr>
        <w:tblStyle w:val="2"/>
        <w:tblW w:w="828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421"/>
        <w:gridCol w:w="4321"/>
        <w:gridCol w:w="960"/>
        <w:gridCol w:w="945"/>
      </w:tblGrid>
      <w:tr w14:paraId="68619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8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3E197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BYMQ01-04全船搭架工程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竞优综合评分表</w:t>
            </w:r>
          </w:p>
        </w:tc>
      </w:tr>
      <w:tr w14:paraId="731A7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8AF81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竞标单位：</w:t>
            </w:r>
          </w:p>
        </w:tc>
        <w:tc>
          <w:tcPr>
            <w:tcW w:w="62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9E6C8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08BC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05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ED7C64">
            <w:pPr>
              <w:widowControl/>
              <w:ind w:firstLine="420" w:firstLineChars="150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竞优专业：</w:t>
            </w:r>
          </w:p>
        </w:tc>
        <w:tc>
          <w:tcPr>
            <w:tcW w:w="62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B6EE0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BYMQ01-04全船搭架工程</w:t>
            </w:r>
          </w:p>
        </w:tc>
      </w:tr>
      <w:tr w14:paraId="69277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BB7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1500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评审项目</w:t>
            </w:r>
          </w:p>
        </w:tc>
        <w:tc>
          <w:tcPr>
            <w:tcW w:w="4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F50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评分标准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0472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评分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520F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5A574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2674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CDB7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供方业绩</w:t>
            </w:r>
          </w:p>
        </w:tc>
        <w:tc>
          <w:tcPr>
            <w:tcW w:w="4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C3D19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劳务供方业绩评分占20分：近三年有同类型船型建造业绩的20分，近三年没有同类型建造业绩的但有其他船型建造业绩的10分，近三年没有同类型产品建造业绩的得0分；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980CE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22CC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8A93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929D7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B325A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保障措施</w:t>
            </w:r>
          </w:p>
        </w:tc>
        <w:tc>
          <w:tcPr>
            <w:tcW w:w="4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F63F3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保障措施评分占2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0分：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保障措施详细有效，操作性强20分，保障措施较粗糙，操作性一般10分，保障措施不符合实际0分。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794DF0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D45A5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B129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2DCA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E91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供方报价价格</w:t>
            </w:r>
          </w:p>
        </w:tc>
        <w:tc>
          <w:tcPr>
            <w:tcW w:w="4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AACF2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劳务公司价格评分占60分：以船厂单船目标成本为基准，供方报价最接近单船目标成本为第一名，得分为60分，第二名50分，第三名40分。依此类推，最高60分，最低40分。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83B14E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04A97F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A29F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A36FA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AE3B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3BAD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bookmarkEnd w:id="0"/>
    </w:tbl>
    <w:p w14:paraId="23E1E8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83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2026-01-21T06:53:24Z</dcterms:created>
  <dc:creator>20243065</dc:creator>
  <cp:lastModifiedBy>20243065</cp:lastModifiedBy>
  <dcterms:modified xsi:type="dcterms:W3CDTF">2026-01-21T07:00:47Z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eyJoZGlkIjoiNTQxNmI0M2I2ODRjYjgwOWRhZDg2NTM0ZjBmMDIxNTYifQ==</vt:lpwstr>
  </property>
  <property fmtid="{D5CDD505-2E9C-101B-9397-08002B2CF9AE}" pid="4" name="ICV">
    <vt:lpwstr>95E8830ED4E748109E0D5E8987839491_12</vt:lpwstr>
  </property>
</Properties>
</file>